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3F8" w:rsidRDefault="00AB23F8">
      <w:pPr>
        <w:spacing w:after="47" w:line="259" w:lineRule="auto"/>
        <w:ind w:left="10" w:right="162" w:hanging="10"/>
        <w:jc w:val="right"/>
        <w:rPr>
          <w:sz w:val="24"/>
          <w:szCs w:val="24"/>
        </w:rPr>
      </w:pPr>
    </w:p>
    <w:p w:rsidR="00AB23F8" w:rsidRPr="00BF4CAD" w:rsidRDefault="000E78EE" w:rsidP="00C66BEF">
      <w:pPr>
        <w:spacing w:after="47" w:line="259" w:lineRule="auto"/>
        <w:ind w:left="142" w:firstLine="0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2F0682"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  <w:r w:rsidRPr="00BF4CAD">
        <w:rPr>
          <w:rFonts w:ascii="Times New Roman" w:hAnsi="Times New Roman" w:cs="Times New Roman"/>
          <w:b/>
          <w:sz w:val="24"/>
          <w:szCs w:val="24"/>
        </w:rPr>
        <w:t xml:space="preserve"> do SWZ </w:t>
      </w:r>
    </w:p>
    <w:p w:rsidR="00AB23F8" w:rsidRPr="00BF4CAD" w:rsidRDefault="00AB23F8">
      <w:pPr>
        <w:spacing w:after="19" w:line="259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B23F8" w:rsidRPr="00BF4CAD" w:rsidRDefault="000E78EE" w:rsidP="00A365B7">
      <w:pPr>
        <w:spacing w:after="11"/>
        <w:ind w:left="3483" w:hanging="1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D435D5" w:rsidRDefault="00D435D5" w:rsidP="005D4AB3">
      <w:pPr>
        <w:spacing w:after="0"/>
        <w:ind w:left="4860"/>
        <w:jc w:val="center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Skulsk</w:t>
      </w:r>
    </w:p>
    <w:p w:rsidR="00D435D5" w:rsidRPr="00D435D5" w:rsidRDefault="00D435D5" w:rsidP="005D4AB3">
      <w:pPr>
        <w:spacing w:after="0"/>
        <w:ind w:left="4860"/>
        <w:jc w:val="center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Targowa 2 </w:t>
      </w:r>
    </w:p>
    <w:p w:rsidR="00D435D5" w:rsidRDefault="00D435D5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62-560 Skulsk</w:t>
      </w:r>
    </w:p>
    <w:p w:rsidR="00AB23F8" w:rsidRPr="00BF4CAD" w:rsidRDefault="000E78EE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Wykonawca: </w:t>
      </w:r>
    </w:p>
    <w:p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:rsidR="00AB23F8" w:rsidRPr="00BF4CAD" w:rsidRDefault="000E78EE">
      <w:pPr>
        <w:spacing w:after="0" w:line="237" w:lineRule="auto"/>
        <w:ind w:left="-3" w:right="5841" w:hanging="1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BF4CA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BF4CAD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BF4CAD">
        <w:rPr>
          <w:rFonts w:ascii="Times New Roman" w:hAnsi="Times New Roman" w:cs="Times New Roman"/>
          <w:sz w:val="24"/>
          <w:szCs w:val="24"/>
          <w:u w:val="single" w:color="000000"/>
        </w:rPr>
        <w:t>reprezentowany przez:</w:t>
      </w:r>
    </w:p>
    <w:p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</w:t>
      </w:r>
    </w:p>
    <w:p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do reprezentacji) </w:t>
      </w:r>
    </w:p>
    <w:p w:rsidR="00AB23F8" w:rsidRDefault="000E78EE">
      <w:pPr>
        <w:spacing w:after="0" w:line="259" w:lineRule="auto"/>
        <w:ind w:left="10" w:right="53" w:hanging="10"/>
        <w:jc w:val="center"/>
        <w:rPr>
          <w:rFonts w:ascii="Times New Roman" w:hAnsi="Times New Roman" w:cs="Times New Roman"/>
          <w:b/>
          <w:sz w:val="24"/>
          <w:szCs w:val="24"/>
          <w:u w:val="single" w:color="000000"/>
        </w:rPr>
      </w:pPr>
      <w:r w:rsidRPr="00BF4CAD">
        <w:rPr>
          <w:rFonts w:ascii="Times New Roman" w:hAnsi="Times New Roman" w:cs="Times New Roman"/>
          <w:b/>
          <w:sz w:val="24"/>
          <w:szCs w:val="24"/>
          <w:u w:val="single" w:color="000000"/>
        </w:rPr>
        <w:t>Oświadczenie Wykonawcy</w:t>
      </w:r>
    </w:p>
    <w:p w:rsidR="005D4AB3" w:rsidRPr="00BF4CAD" w:rsidRDefault="005D4AB3">
      <w:pPr>
        <w:spacing w:after="0" w:line="259" w:lineRule="auto"/>
        <w:ind w:left="10" w:right="53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DOTYCZĄCE PODSTAW WYKLUCZENIA Z POSTĘPOWANIA</w:t>
      </w: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578F5" w:rsidRPr="002F0682" w:rsidRDefault="009B0DC2" w:rsidP="00D7280A">
      <w:pPr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  <w:lang w:bidi="pl-PL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pn</w:t>
      </w:r>
      <w:r w:rsidR="00D728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D7280A" w:rsidRPr="00D728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„</w:t>
      </w:r>
      <w:r w:rsidR="002F0682" w:rsidRPr="002F0682">
        <w:rPr>
          <w:rFonts w:ascii="Times New Roman" w:hAnsi="Times New Roman" w:cs="Times New Roman"/>
          <w:b/>
          <w:color w:val="000000" w:themeColor="text1"/>
          <w:sz w:val="24"/>
          <w:szCs w:val="24"/>
          <w:lang w:bidi="pl-PL"/>
        </w:rPr>
        <w:t>Odbiór i transport odpadów komunalnych z nieruchomości zamieszkałych oraz niezamieszkałych z terenu Gminy Skulsk</w:t>
      </w:r>
      <w:r w:rsidR="004A31E8" w:rsidRPr="00D7280A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</w:t>
      </w:r>
      <w:r w:rsidR="001E6AF2">
        <w:rPr>
          <w:rFonts w:ascii="Times New Roman" w:hAnsi="Times New Roman" w:cs="Times New Roman"/>
          <w:color w:val="000000" w:themeColor="text1"/>
          <w:sz w:val="24"/>
          <w:szCs w:val="24"/>
        </w:rPr>
        <w:t>wadzonego przez Gminę Skulsk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600973"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podlegam/</w:t>
      </w:r>
      <w:r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nie podlegam</w:t>
      </w:r>
      <w:r w:rsid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*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wykluczeniu z postępowania na</w:t>
      </w:r>
      <w:r w:rsidR="009578F5" w:rsidRPr="00BF4CAD">
        <w:rPr>
          <w:rFonts w:ascii="Times New Roman" w:hAnsi="Times New Roman" w:cs="Times New Roman"/>
          <w:sz w:val="24"/>
          <w:szCs w:val="24"/>
        </w:rPr>
        <w:t xml:space="preserve"> mocy art. 1 pkt 23 rozporządzenia 2022/576 do rozporządzenia Rady (UE) nr 833/2014 z dnia 31 lipca 2014 r. dotyczącego środków ograniczających w związku z działaniami Rosji destabilizującymi sytuację na Ukrainie (Dz. Urz. UE nr L 229 z 31.7.2014, str. 1) zostały dodane przepisy art. 5k w następującym brzmieniu:</w:t>
      </w:r>
    </w:p>
    <w:p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1.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a) obywateli rosyjskich lub osób fizycznych lub prawnych, podmiotów lub organów z siedzibą w Rosji;</w:t>
      </w:r>
    </w:p>
    <w:p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b) osób prawnych, podmiotów lub organów, do których prawa własności bezpośrednio lub pośrednio w ponad 50 % należą do podmiotu, o którym mowa w lit. a) niniejszego ustępu; lub</w:t>
      </w:r>
    </w:p>
    <w:p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c) osób fizycznych lub prawnych, podmiotów lub organów działających w imieniu lub pod kierunkiem podmiotu, o którym mowa w lit. a) lub b) niniejszego ustępu,</w:t>
      </w:r>
    </w:p>
    <w:p w:rsidR="009578F5" w:rsidRPr="00BF4CAD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9578F5" w:rsidRPr="00BF4CAD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lastRenderedPageBreak/>
        <w:t>2. Na zasadzie odstępstwa od ust. 1 właściwe organy mogą zezwolić na udzielenie i dalsze wykonywanie zamówień, których przedmiotem jest:</w:t>
      </w:r>
    </w:p>
    <w:p w:rsidR="009578F5" w:rsidRPr="00BF4CAD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a) 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:rsidR="009578F5" w:rsidRPr="00BF4CAD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b) współpraca międzyrządowa w ramach programów kosmicznych;</w:t>
      </w:r>
    </w:p>
    <w:p w:rsidR="009578F5" w:rsidRPr="00BF4CAD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c) 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:rsidR="009578F5" w:rsidRPr="00BF4CAD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d) funkcjonowanie przedstawicielstw dyplomatycznych i konsularnych Unii i państw członkowskich w Rosji, w tym delegatur, ambasad i misji, lub organizacji międzynarodowych w Rosji korzystających z immunitetów zgodnie z prawem międzynarodowym;</w:t>
      </w:r>
    </w:p>
    <w:p w:rsidR="009578F5" w:rsidRPr="00BF4CAD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e) zakup, przywóz lub transport gazu ziemnego i ropy naftowej, w tym produktów rafinacji ropy naftowej, a także tytanu, aluminium, miedzi, niklu, palladu i rudy żelaza z Rosji lub przez Rosję do Unii; lub</w:t>
      </w:r>
    </w:p>
    <w:p w:rsidR="009578F5" w:rsidRPr="00BF4CAD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f) zakup, przywóz lub transport do Unii węgla oraz innych stałych paliw kopalnych, wymienionych w załączniku XXII, do dnia 10 sierpnia 2022 r.</w:t>
      </w:r>
    </w:p>
    <w:p w:rsidR="009578F5" w:rsidRPr="00BF4CAD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3. Zainteresowane państwo członkowskie informuje pozostałe państwa członkowskie oraz Komisję o każdym zezwoleniu udzielonym na podstawie niniejszego artykułu w terminie dwóch tygodni od udzielenia zezwolenia.</w:t>
      </w:r>
    </w:p>
    <w:p w:rsidR="009578F5" w:rsidRPr="00BF4CAD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4. Zakazy ustanowione w ust. 1 nie mają zastosowania do wykonywania do dnia 10 października 2022 r. umów zawartych przed dniem 9 kwietnia 2022 r.</w:t>
      </w:r>
    </w:p>
    <w:p w:rsidR="009B0DC2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t>Rozporządzenie 2022/576 ma zasięg ogólny i obowiązuje bezpośrednio we wszystkich państwach członkowsk</w:t>
      </w:r>
      <w:r w:rsidR="001E6AF2">
        <w:t>ich</w:t>
      </w:r>
    </w:p>
    <w:p w:rsidR="00600973" w:rsidRPr="00600973" w:rsidRDefault="00600973" w:rsidP="005D4AB3">
      <w:pPr>
        <w:pStyle w:val="NormalnyWeb"/>
        <w:spacing w:before="0" w:beforeAutospacing="0" w:after="0" w:afterAutospacing="0"/>
        <w:jc w:val="both"/>
      </w:pPr>
      <w:r>
        <w:t>*niepotrzebne skreślić</w:t>
      </w:r>
    </w:p>
    <w:p w:rsidR="009B0DC2" w:rsidRPr="00BF4CAD" w:rsidRDefault="009B0DC2" w:rsidP="005D4AB3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………….……. r.</w:t>
      </w: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B0DC2" w:rsidRPr="00BF4CAD" w:rsidRDefault="009B0DC2" w:rsidP="009B0DC2">
      <w:pPr>
        <w:tabs>
          <w:tab w:val="left" w:pos="4253"/>
        </w:tabs>
        <w:spacing w:line="276" w:lineRule="auto"/>
        <w:ind w:left="0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BF4CA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sectPr w:rsidR="009B0DC2" w:rsidRPr="00BF4CAD" w:rsidSect="005D4AB3">
      <w:headerReference w:type="default" r:id="rId7"/>
      <w:footerReference w:type="default" r:id="rId8"/>
      <w:pgSz w:w="11906" w:h="16838"/>
      <w:pgMar w:top="1300" w:right="849" w:bottom="1303" w:left="1440" w:header="708" w:footer="708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E70" w:rsidRDefault="000E78EE">
      <w:pPr>
        <w:spacing w:after="0" w:line="240" w:lineRule="auto"/>
      </w:pPr>
      <w:r>
        <w:separator/>
      </w:r>
    </w:p>
  </w:endnote>
  <w:endnote w:type="continuationSeparator" w:id="0">
    <w:p w:rsidR="00543E70" w:rsidRDefault="000E7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3F8" w:rsidRDefault="00AB23F8">
    <w:pPr>
      <w:spacing w:after="0" w:line="259" w:lineRule="auto"/>
      <w:ind w:left="0" w:right="49" w:firstLine="0"/>
      <w:jc w:val="right"/>
    </w:pPr>
  </w:p>
  <w:p w:rsidR="00AB23F8" w:rsidRDefault="00AB23F8">
    <w:pPr>
      <w:spacing w:after="0" w:line="259" w:lineRule="auto"/>
      <w:ind w:left="2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E70" w:rsidRDefault="000E78EE">
      <w:pPr>
        <w:spacing w:after="0" w:line="240" w:lineRule="auto"/>
      </w:pPr>
      <w:r>
        <w:separator/>
      </w:r>
    </w:p>
  </w:footnote>
  <w:footnote w:type="continuationSeparator" w:id="0">
    <w:p w:rsidR="00543E70" w:rsidRDefault="000E7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D8B" w:rsidRDefault="00367D8B" w:rsidP="00E34DCB">
    <w:pPr>
      <w:pStyle w:val="Nagwek"/>
      <w:ind w:left="0"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mailMerge>
    <w:mainDocumentType w:val="formLetters"/>
    <w:dataType w:val="textFile"/>
    <w:query w:val="SELECT * FROM Lista.dbo.Arkusz1$"/>
  </w:mailMerge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23F8"/>
    <w:rsid w:val="0003778E"/>
    <w:rsid w:val="00063B7F"/>
    <w:rsid w:val="000D063B"/>
    <w:rsid w:val="000E78EE"/>
    <w:rsid w:val="00127F53"/>
    <w:rsid w:val="001C474B"/>
    <w:rsid w:val="001E0ED3"/>
    <w:rsid w:val="001E6AF2"/>
    <w:rsid w:val="002559B0"/>
    <w:rsid w:val="002F0682"/>
    <w:rsid w:val="002F7752"/>
    <w:rsid w:val="00367D8B"/>
    <w:rsid w:val="004A31E8"/>
    <w:rsid w:val="004C454C"/>
    <w:rsid w:val="004E471B"/>
    <w:rsid w:val="00543E70"/>
    <w:rsid w:val="005A016D"/>
    <w:rsid w:val="005D4AB3"/>
    <w:rsid w:val="00600973"/>
    <w:rsid w:val="00631C66"/>
    <w:rsid w:val="00700B58"/>
    <w:rsid w:val="00736B68"/>
    <w:rsid w:val="008240E5"/>
    <w:rsid w:val="0084593B"/>
    <w:rsid w:val="009578F5"/>
    <w:rsid w:val="00964A39"/>
    <w:rsid w:val="009653CF"/>
    <w:rsid w:val="009B0DC2"/>
    <w:rsid w:val="009D7EAE"/>
    <w:rsid w:val="00A365B7"/>
    <w:rsid w:val="00AB00A0"/>
    <w:rsid w:val="00AB23F8"/>
    <w:rsid w:val="00AF2A66"/>
    <w:rsid w:val="00B84BE1"/>
    <w:rsid w:val="00BF369E"/>
    <w:rsid w:val="00BF4CAD"/>
    <w:rsid w:val="00C63CAA"/>
    <w:rsid w:val="00C66BEF"/>
    <w:rsid w:val="00D435D5"/>
    <w:rsid w:val="00D44662"/>
    <w:rsid w:val="00D7280A"/>
    <w:rsid w:val="00DE480B"/>
    <w:rsid w:val="00DF3D95"/>
    <w:rsid w:val="00E34DCB"/>
    <w:rsid w:val="00E45CD5"/>
    <w:rsid w:val="00E6684D"/>
    <w:rsid w:val="00EA3FC5"/>
    <w:rsid w:val="00F50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A3856CB"/>
  <w15:docId w15:val="{811F8B9C-E005-4193-B626-796E0B26D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71B"/>
    <w:pPr>
      <w:spacing w:after="72" w:line="266" w:lineRule="auto"/>
      <w:ind w:left="6436" w:firstLine="2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4E471B"/>
    <w:pPr>
      <w:keepNext/>
      <w:keepLines/>
      <w:spacing w:after="49" w:line="259" w:lineRule="auto"/>
      <w:ind w:left="730" w:hanging="10"/>
      <w:outlineLvl w:val="0"/>
    </w:pPr>
    <w:rPr>
      <w:rFonts w:ascii="Calibri" w:eastAsia="Calibri" w:hAnsi="Calibri" w:cs="Calibri"/>
      <w:b/>
      <w:color w:val="00000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rsid w:val="004E471B"/>
    <w:pPr>
      <w:keepNext/>
      <w:keepLines/>
      <w:spacing w:after="17" w:line="259" w:lineRule="auto"/>
      <w:ind w:left="22" w:hanging="10"/>
      <w:jc w:val="center"/>
      <w:outlineLvl w:val="1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sid w:val="004E471B"/>
    <w:rPr>
      <w:rFonts w:ascii="Calibri" w:eastAsia="Calibri" w:hAnsi="Calibri" w:cs="Calibri"/>
      <w:b/>
      <w:color w:val="000000"/>
      <w:sz w:val="22"/>
    </w:rPr>
  </w:style>
  <w:style w:type="character" w:customStyle="1" w:styleId="Nagwek1Znak">
    <w:name w:val="Nagłówek 1 Znak"/>
    <w:link w:val="Nagwek1"/>
    <w:qFormat/>
    <w:rsid w:val="004E471B"/>
    <w:rPr>
      <w:rFonts w:ascii="Calibri" w:eastAsia="Calibri" w:hAnsi="Calibri" w:cs="Calibri"/>
      <w:b/>
      <w:color w:val="000000"/>
      <w:sz w:val="22"/>
      <w:u w:val="single" w:color="000000"/>
    </w:rPr>
  </w:style>
  <w:style w:type="character" w:customStyle="1" w:styleId="czeinternetowe">
    <w:name w:val="Łącze internetowe"/>
    <w:basedOn w:val="Domylnaczcionkaakapitu"/>
    <w:uiPriority w:val="99"/>
    <w:unhideWhenUsed/>
    <w:rsid w:val="00132D7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132D7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90024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9002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4E471B"/>
    <w:pPr>
      <w:spacing w:after="140" w:line="276" w:lineRule="auto"/>
    </w:pPr>
  </w:style>
  <w:style w:type="paragraph" w:styleId="Lista">
    <w:name w:val="List"/>
    <w:basedOn w:val="Tekstpodstawowy"/>
    <w:rsid w:val="004E471B"/>
    <w:rPr>
      <w:rFonts w:ascii="Tahoma" w:hAnsi="Tahoma" w:cs="Arial"/>
    </w:rPr>
  </w:style>
  <w:style w:type="paragraph" w:styleId="Legenda">
    <w:name w:val="caption"/>
    <w:basedOn w:val="Normalny"/>
    <w:qFormat/>
    <w:rsid w:val="004E471B"/>
    <w:pPr>
      <w:suppressLineNumbers/>
      <w:spacing w:before="120" w:after="120"/>
    </w:pPr>
    <w:rPr>
      <w:rFonts w:ascii="Tahoma" w:hAnsi="Tahoma"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E471B"/>
    <w:pPr>
      <w:suppressLineNumbers/>
    </w:pPr>
    <w:rPr>
      <w:rFonts w:ascii="Tahoma" w:hAnsi="Tahoma" w:cs="Arial"/>
    </w:rPr>
  </w:style>
  <w:style w:type="paragraph" w:customStyle="1" w:styleId="Gwkaistopka">
    <w:name w:val="Główka i stopka"/>
    <w:basedOn w:val="Normalny"/>
    <w:qFormat/>
    <w:rsid w:val="004E471B"/>
  </w:style>
  <w:style w:type="paragraph" w:styleId="Stopka">
    <w:name w:val="footer"/>
    <w:basedOn w:val="Gwkaistopka"/>
    <w:rsid w:val="004E471B"/>
  </w:style>
  <w:style w:type="table" w:customStyle="1" w:styleId="TableGrid">
    <w:name w:val="TableGrid"/>
    <w:rsid w:val="004E47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9578F5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578F5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80B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0C4DF-EA42-4C90-BD45-BBC96A4D0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657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rwisniewska</dc:creator>
  <dc:description/>
  <cp:lastModifiedBy>Jarosław Goiński</cp:lastModifiedBy>
  <cp:revision>109</cp:revision>
  <cp:lastPrinted>2025-11-26T11:48:00Z</cp:lastPrinted>
  <dcterms:created xsi:type="dcterms:W3CDTF">2022-04-14T19:25:00Z</dcterms:created>
  <dcterms:modified xsi:type="dcterms:W3CDTF">2025-11-26T11:48:00Z</dcterms:modified>
  <dc:language>pl-PL</dc:language>
</cp:coreProperties>
</file>